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C0BCE" w:rsidRDefault="00000000">
      <w:pPr>
        <w:spacing w:after="0"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III. YÖNETİM BİLİMLERİ SEMPOZYUMU</w:t>
      </w:r>
    </w:p>
    <w:p w14:paraId="00000002" w14:textId="77777777" w:rsidR="000C0BCE" w:rsidRDefault="00000000">
      <w:pPr>
        <w:spacing w:after="0" w:line="240" w:lineRule="auto"/>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YAPAY ZEKÂ VE ETİK</w:t>
      </w:r>
    </w:p>
    <w:p w14:paraId="00000003" w14:textId="77777777" w:rsidR="000C0BCE" w:rsidRDefault="000C0BCE">
      <w:pPr>
        <w:spacing w:after="0" w:line="240" w:lineRule="auto"/>
        <w:jc w:val="both"/>
        <w:rPr>
          <w:rFonts w:ascii="Times New Roman" w:eastAsia="Times New Roman" w:hAnsi="Times New Roman" w:cs="Times New Roman"/>
          <w:sz w:val="22"/>
          <w:szCs w:val="22"/>
        </w:rPr>
      </w:pPr>
    </w:p>
    <w:p w14:paraId="00000004" w14:textId="77777777" w:rsidR="000C0BCE" w:rsidRDefault="00000000">
      <w:p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İstanbul Esenyurt Üniversitesi İşletme ve Yönetim Bilimleri Fakültesi tarafından düzenlenen </w:t>
      </w:r>
      <w:r>
        <w:rPr>
          <w:rFonts w:ascii="Times New Roman" w:eastAsia="Times New Roman" w:hAnsi="Times New Roman" w:cs="Times New Roman"/>
          <w:b/>
          <w:bCs/>
          <w:sz w:val="22"/>
          <w:szCs w:val="22"/>
        </w:rPr>
        <w:t>III. Yönetim Bilimleri Sempozyumu</w:t>
      </w:r>
      <w:r>
        <w:rPr>
          <w:rFonts w:ascii="Times New Roman" w:eastAsia="Times New Roman" w:hAnsi="Times New Roman" w:cs="Times New Roman"/>
          <w:sz w:val="22"/>
          <w:szCs w:val="22"/>
        </w:rPr>
        <w:t xml:space="preserve">, </w:t>
      </w:r>
      <w:r>
        <w:rPr>
          <w:rFonts w:ascii="Times New Roman" w:eastAsia="Times New Roman" w:hAnsi="Times New Roman" w:cs="Times New Roman"/>
          <w:b/>
          <w:bCs/>
          <w:sz w:val="22"/>
          <w:szCs w:val="22"/>
        </w:rPr>
        <w:t>26–27 Kasım 2026</w:t>
      </w:r>
      <w:r>
        <w:rPr>
          <w:rFonts w:ascii="Times New Roman" w:eastAsia="Times New Roman" w:hAnsi="Times New Roman" w:cs="Times New Roman"/>
          <w:sz w:val="22"/>
          <w:szCs w:val="22"/>
        </w:rPr>
        <w:t xml:space="preserve"> tarihlerinde </w:t>
      </w:r>
      <w:r>
        <w:rPr>
          <w:rFonts w:ascii="Times New Roman" w:eastAsia="Times New Roman" w:hAnsi="Times New Roman" w:cs="Times New Roman"/>
          <w:b/>
          <w:bCs/>
          <w:sz w:val="22"/>
          <w:szCs w:val="22"/>
        </w:rPr>
        <w:t>“Yapay Zekâ ve Etik”</w:t>
      </w:r>
      <w:r>
        <w:rPr>
          <w:rFonts w:ascii="Times New Roman" w:eastAsia="Times New Roman" w:hAnsi="Times New Roman" w:cs="Times New Roman"/>
          <w:sz w:val="22"/>
          <w:szCs w:val="22"/>
        </w:rPr>
        <w:t xml:space="preserve"> temasıyla gerçekleştirilecektir.</w:t>
      </w:r>
    </w:p>
    <w:p w14:paraId="00000005" w14:textId="77777777" w:rsidR="000C0BCE" w:rsidRDefault="000C0BCE">
      <w:pPr>
        <w:spacing w:after="0" w:line="240" w:lineRule="auto"/>
        <w:jc w:val="both"/>
        <w:rPr>
          <w:rFonts w:ascii="Times New Roman" w:eastAsia="Times New Roman" w:hAnsi="Times New Roman" w:cs="Times New Roman"/>
          <w:sz w:val="22"/>
          <w:szCs w:val="22"/>
        </w:rPr>
      </w:pPr>
    </w:p>
    <w:p w14:paraId="00000006" w14:textId="77777777" w:rsidR="000C0BCE" w:rsidRDefault="00000000">
      <w:p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Yapay zekâ teknolojileri; kamu yönetiminden işletmelere, eğitimden finans ve lojistiğe, pazarlamadan hizmet sektörüne kadar çok sayıda alanda dönüşüm yaratmaktadır. Bu dönüşüm yalnızca teknolojik gelişmeleri değil, aynı zamanda etik ilkeleri, yönetişim mekanizmalarını, bireysel hakları, toplumsal sorumluluğu ve sürdürülebilir kalkınmayı da yeniden düşünmeyi gerekli kılmaktadır.</w:t>
      </w:r>
    </w:p>
    <w:p w14:paraId="00000007" w14:textId="77777777" w:rsidR="000C0BCE" w:rsidRDefault="000C0BCE">
      <w:pPr>
        <w:spacing w:after="0" w:line="240" w:lineRule="auto"/>
        <w:jc w:val="both"/>
        <w:rPr>
          <w:rFonts w:ascii="Times New Roman" w:eastAsia="Times New Roman" w:hAnsi="Times New Roman" w:cs="Times New Roman"/>
          <w:sz w:val="22"/>
          <w:szCs w:val="22"/>
        </w:rPr>
      </w:pPr>
    </w:p>
    <w:p w14:paraId="00000008" w14:textId="77777777" w:rsidR="000C0BCE" w:rsidRDefault="00000000">
      <w:p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Bu kapsamda sempozyum, yapay zekânın yönetim bilimleri ve sosyal bilimler üzerindeki etkilerini disiplinlerarası bir bakış açısıyla ele almayı; akademisyenleri, araştırmacıları, lisans ve lisansüstü öğrencileri, kamu ve özel sektör temsilcilerini bir araya getirerek güncel araştırmaların paylaşılmasına ve yeni iş birliklerinin geliştirilmesine katkı sunmayı amaçlamaktadır.</w:t>
      </w:r>
    </w:p>
    <w:p w14:paraId="00000009" w14:textId="77777777" w:rsidR="000C0BCE" w:rsidRDefault="000C0BCE">
      <w:pPr>
        <w:spacing w:after="0" w:line="240" w:lineRule="auto"/>
        <w:jc w:val="both"/>
        <w:rPr>
          <w:rFonts w:ascii="Times New Roman" w:eastAsia="Times New Roman" w:hAnsi="Times New Roman" w:cs="Times New Roman"/>
          <w:sz w:val="22"/>
          <w:szCs w:val="22"/>
        </w:rPr>
      </w:pPr>
    </w:p>
    <w:p w14:paraId="0000000A" w14:textId="77777777" w:rsidR="000C0BCE" w:rsidRDefault="00000000">
      <w:p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Sempozyum kapsamında yapay zekâ ve etik ekseninde gerçekleştirilen teorik, ampirik, kavramsal ve uygulamalı çalışmalar değerlendirmeye alınacaktır. Başlıca ilgi alanları arasında aşağıdaki konular yer almaktadır:</w:t>
      </w:r>
    </w:p>
    <w:p w14:paraId="0000000B"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Yapay zekâ etiği ve sorumlu yapay zekâ</w:t>
      </w:r>
    </w:p>
    <w:p w14:paraId="0000000C"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Kamu politikaları, yönetişim ve düzenleyici çerçeveler</w:t>
      </w:r>
    </w:p>
    <w:p w14:paraId="0000000D"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Algoritmik karar verme ve algoritmik adalet</w:t>
      </w:r>
    </w:p>
    <w:p w14:paraId="0000000E"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Otonom sistemler ve etik sorumluluk</w:t>
      </w:r>
    </w:p>
    <w:p w14:paraId="0000000F"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Açıklanabilir ve güvenilir yapay zekâ</w:t>
      </w:r>
    </w:p>
    <w:p w14:paraId="00000010"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Veri yönetişimi, mahremiyet ve dijital haklar</w:t>
      </w:r>
    </w:p>
    <w:p w14:paraId="00000011"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Üretken yapay zekâ ve büyük dil modelleri</w:t>
      </w:r>
    </w:p>
    <w:p w14:paraId="00000012"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Eğitimde yapay zekâ uygulamaları ve akademik bütünlük</w:t>
      </w:r>
    </w:p>
    <w:p w14:paraId="00000013"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İşletmelerde yapay zekâ ve dijital dönüşüm</w:t>
      </w:r>
    </w:p>
    <w:p w14:paraId="00000014"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Yönetim bilişim sistemleri ve karar destek teknolojileri</w:t>
      </w:r>
    </w:p>
    <w:p w14:paraId="00000015"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Pazarlama, e-ticaret ve tüketici analitiği</w:t>
      </w:r>
    </w:p>
    <w:p w14:paraId="00000016"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İnsan–yapay zekâ etkileşimi ve kullanıcı deneyimi</w:t>
      </w:r>
    </w:p>
    <w:p w14:paraId="00000017"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Hizmet robotları ve dijital hizmet sistemleri</w:t>
      </w:r>
    </w:p>
    <w:p w14:paraId="00000018"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Finansal teknolojiler ve yapay zekâ uygulamaları</w:t>
      </w:r>
    </w:p>
    <w:p w14:paraId="00000019"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Lojistik, tedarik zinciri ve operasyon yönetiminde yapay zekâ</w:t>
      </w:r>
    </w:p>
    <w:p w14:paraId="0000001A"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Sürdürülebilirlik, akıllı şehirler ve dijital dönüşüm</w:t>
      </w:r>
    </w:p>
    <w:p w14:paraId="0000001B"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Yapay zekâ ve örgütsel davranış</w:t>
      </w:r>
    </w:p>
    <w:p w14:paraId="0000001C"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Yapay zekâ ve liderlik</w:t>
      </w:r>
    </w:p>
    <w:p w14:paraId="0000001D"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Yapay zekâ ve inovasyon yönetimi</w:t>
      </w:r>
    </w:p>
    <w:p w14:paraId="0000001E" w14:textId="77777777" w:rsidR="000C0BCE" w:rsidRDefault="00000000">
      <w:pPr>
        <w:numPr>
          <w:ilvl w:val="0"/>
          <w:numId w:val="1"/>
        </w:num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Yapay zekânın toplumsal, ekonomik ve hukuki etkileri</w:t>
      </w:r>
    </w:p>
    <w:p w14:paraId="0000001F" w14:textId="77777777" w:rsidR="000C0BCE" w:rsidRDefault="000C0BCE">
      <w:pPr>
        <w:spacing w:after="0" w:line="240" w:lineRule="auto"/>
        <w:jc w:val="both"/>
        <w:rPr>
          <w:rFonts w:ascii="Times New Roman" w:eastAsia="Times New Roman" w:hAnsi="Times New Roman" w:cs="Times New Roman"/>
          <w:sz w:val="22"/>
          <w:szCs w:val="22"/>
        </w:rPr>
      </w:pPr>
    </w:p>
    <w:p w14:paraId="00000020" w14:textId="77777777" w:rsidR="000C0BCE" w:rsidRDefault="00000000">
      <w:pPr>
        <w:spacing w:after="0" w:line="24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Belirtilen konular sempozyumun öncelikli araştırma alanlarını temsil etmekte olup, yapay zekâ ve etik temasıyla ilişkili diğer özgün çalışmaların sunulması da teşvik edilmektedir. Başvurular </w:t>
      </w:r>
      <w:hyperlink r:id="rId6">
        <w:r>
          <w:t>özet formuna</w:t>
        </w:r>
      </w:hyperlink>
      <w:r>
        <w:rPr>
          <w:rFonts w:ascii="Times New Roman" w:eastAsia="Times New Roman" w:hAnsi="Times New Roman" w:cs="Times New Roman"/>
          <w:sz w:val="22"/>
          <w:szCs w:val="22"/>
        </w:rPr>
        <w:t xml:space="preserve"> uygun olarak </w:t>
      </w:r>
      <w:r>
        <w:rPr>
          <w:rFonts w:ascii="Times New Roman" w:eastAsia="Times New Roman" w:hAnsi="Times New Roman" w:cs="Times New Roman"/>
          <w:b/>
          <w:bCs/>
          <w:sz w:val="22"/>
          <w:szCs w:val="22"/>
        </w:rPr>
        <w:t>uybs@esenyurt.edu.tr</w:t>
      </w:r>
      <w:r>
        <w:rPr>
          <w:rFonts w:ascii="Times New Roman" w:eastAsia="Times New Roman" w:hAnsi="Times New Roman" w:cs="Times New Roman"/>
          <w:sz w:val="22"/>
          <w:szCs w:val="22"/>
        </w:rPr>
        <w:t xml:space="preserve"> mail adresi üzerinden gerçekleştirilecektir. Bildiri dili </w:t>
      </w:r>
      <w:r>
        <w:rPr>
          <w:rFonts w:ascii="Times New Roman" w:eastAsia="Times New Roman" w:hAnsi="Times New Roman" w:cs="Times New Roman"/>
          <w:b/>
          <w:bCs/>
          <w:sz w:val="22"/>
          <w:szCs w:val="22"/>
        </w:rPr>
        <w:t>Türkçe</w:t>
      </w:r>
      <w:r>
        <w:rPr>
          <w:rFonts w:ascii="Times New Roman" w:eastAsia="Times New Roman" w:hAnsi="Times New Roman" w:cs="Times New Roman"/>
          <w:sz w:val="22"/>
          <w:szCs w:val="22"/>
        </w:rPr>
        <w:t xml:space="preserve"> veya </w:t>
      </w:r>
      <w:r>
        <w:rPr>
          <w:rFonts w:ascii="Times New Roman" w:eastAsia="Times New Roman" w:hAnsi="Times New Roman" w:cs="Times New Roman"/>
          <w:b/>
          <w:bCs/>
          <w:sz w:val="22"/>
          <w:szCs w:val="22"/>
        </w:rPr>
        <w:t>İngilizce</w:t>
      </w:r>
      <w:r>
        <w:rPr>
          <w:rFonts w:ascii="Times New Roman" w:eastAsia="Times New Roman" w:hAnsi="Times New Roman" w:cs="Times New Roman"/>
          <w:sz w:val="22"/>
          <w:szCs w:val="22"/>
        </w:rPr>
        <w:t xml:space="preserve"> olmalıdır. Sempozyuma katılım </w:t>
      </w:r>
      <w:r>
        <w:rPr>
          <w:rFonts w:ascii="Times New Roman" w:eastAsia="Times New Roman" w:hAnsi="Times New Roman" w:cs="Times New Roman"/>
          <w:b/>
          <w:bCs/>
          <w:sz w:val="22"/>
          <w:szCs w:val="22"/>
        </w:rPr>
        <w:t>yüz yüze</w:t>
      </w:r>
      <w:r>
        <w:rPr>
          <w:rFonts w:ascii="Times New Roman" w:eastAsia="Times New Roman" w:hAnsi="Times New Roman" w:cs="Times New Roman"/>
          <w:sz w:val="22"/>
          <w:szCs w:val="22"/>
        </w:rPr>
        <w:t xml:space="preserve"> veya </w:t>
      </w:r>
      <w:r>
        <w:rPr>
          <w:rFonts w:ascii="Times New Roman" w:eastAsia="Times New Roman" w:hAnsi="Times New Roman" w:cs="Times New Roman"/>
          <w:b/>
          <w:bCs/>
          <w:sz w:val="22"/>
          <w:szCs w:val="22"/>
        </w:rPr>
        <w:t>çevrimiçi</w:t>
      </w:r>
      <w:r>
        <w:rPr>
          <w:rFonts w:ascii="Times New Roman" w:eastAsia="Times New Roman" w:hAnsi="Times New Roman" w:cs="Times New Roman"/>
          <w:sz w:val="22"/>
          <w:szCs w:val="22"/>
        </w:rPr>
        <w:t xml:space="preserve"> olarak sağlanabilir. Sempozyum kapsamında sunulan bildiriler bilimsel etik ve teamüllere uygun olarak çift kör hakem yöntemi ile değerlendirilecek ve özet metinler </w:t>
      </w:r>
      <w:r>
        <w:rPr>
          <w:rFonts w:ascii="Times New Roman" w:eastAsia="Times New Roman" w:hAnsi="Times New Roman" w:cs="Times New Roman"/>
          <w:b/>
          <w:bCs/>
          <w:sz w:val="22"/>
          <w:szCs w:val="22"/>
        </w:rPr>
        <w:t>sempozyum e-kitabı</w:t>
      </w:r>
      <w:r>
        <w:rPr>
          <w:rFonts w:ascii="Times New Roman" w:eastAsia="Times New Roman" w:hAnsi="Times New Roman" w:cs="Times New Roman"/>
          <w:sz w:val="22"/>
          <w:szCs w:val="22"/>
        </w:rPr>
        <w:t xml:space="preserve"> olarak yayınlanacaktır.</w:t>
      </w:r>
    </w:p>
    <w:p w14:paraId="00000021" w14:textId="77777777" w:rsidR="000C0BCE" w:rsidRDefault="000C0BCE">
      <w:pPr>
        <w:spacing w:after="0" w:line="240" w:lineRule="auto"/>
        <w:rPr>
          <w:rFonts w:ascii="Times New Roman" w:eastAsia="Times New Roman" w:hAnsi="Times New Roman" w:cs="Times New Roman"/>
          <w:b/>
          <w:bCs/>
          <w:sz w:val="22"/>
          <w:szCs w:val="22"/>
        </w:rPr>
      </w:pPr>
    </w:p>
    <w:p w14:paraId="00000022" w14:textId="77777777" w:rsidR="000C0BCE" w:rsidRDefault="00000000">
      <w:pPr>
        <w:spacing w:after="0" w:line="240" w:lineRule="auto"/>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Önemli Tarihler</w:t>
      </w:r>
    </w:p>
    <w:p w14:paraId="00000023" w14:textId="77777777" w:rsidR="000C0BCE"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br/>
      </w:r>
      <w:r>
        <w:rPr>
          <w:rFonts w:ascii="Times New Roman" w:eastAsia="Times New Roman" w:hAnsi="Times New Roman" w:cs="Times New Roman"/>
          <w:b/>
          <w:bCs/>
          <w:sz w:val="22"/>
          <w:szCs w:val="22"/>
        </w:rPr>
        <w:t xml:space="preserve">Son Özet Bildiri Gönderimi: </w:t>
      </w:r>
      <w:r>
        <w:rPr>
          <w:rFonts w:ascii="Times New Roman" w:eastAsia="Times New Roman" w:hAnsi="Times New Roman" w:cs="Times New Roman"/>
          <w:sz w:val="22"/>
          <w:szCs w:val="22"/>
        </w:rPr>
        <w:t>15.11.2026</w:t>
      </w:r>
    </w:p>
    <w:p w14:paraId="00000024" w14:textId="77777777" w:rsidR="000C0BCE"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Bildiri Sonuçlarının İletilmesi:</w:t>
      </w:r>
      <w:r>
        <w:rPr>
          <w:rFonts w:ascii="Times New Roman" w:eastAsia="Times New Roman" w:hAnsi="Times New Roman" w:cs="Times New Roman"/>
          <w:sz w:val="22"/>
          <w:szCs w:val="22"/>
        </w:rPr>
        <w:t xml:space="preserve"> 19.11.2026</w:t>
      </w:r>
    </w:p>
    <w:p w14:paraId="00000025" w14:textId="77777777" w:rsidR="000C0BCE"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Sempozyum Tarihi:</w:t>
      </w:r>
      <w:r>
        <w:rPr>
          <w:rFonts w:ascii="Times New Roman" w:eastAsia="Times New Roman" w:hAnsi="Times New Roman" w:cs="Times New Roman"/>
          <w:sz w:val="22"/>
          <w:szCs w:val="22"/>
        </w:rPr>
        <w:t xml:space="preserve"> 26.11.2026 (Yüz yüze) - 27.11.2026 (Online)</w:t>
      </w:r>
    </w:p>
    <w:p w14:paraId="00000026" w14:textId="77777777" w:rsidR="000C0BCE" w:rsidRDefault="00000000">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b/>
          <w:bCs/>
          <w:sz w:val="22"/>
          <w:szCs w:val="22"/>
        </w:rPr>
        <w:t>Özet Bildiri Kitabının Yayımlanması:</w:t>
      </w:r>
      <w:r>
        <w:rPr>
          <w:rFonts w:ascii="Times New Roman" w:eastAsia="Times New Roman" w:hAnsi="Times New Roman" w:cs="Times New Roman"/>
          <w:sz w:val="22"/>
          <w:szCs w:val="22"/>
        </w:rPr>
        <w:t xml:space="preserve"> 01.12.2026</w:t>
      </w:r>
    </w:p>
    <w:sectPr w:rsidR="000C0BCE">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33E9605-B291-4365-A069-04469437A08F}"/>
  </w:font>
  <w:font w:name="Courier New">
    <w:panose1 w:val="02070309020205020404"/>
    <w:charset w:val="A2"/>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762EDF4A-2E64-4790-92DE-574E16E6575C}"/>
    <w:embedItalic r:id="rId3" w:fontKey="{B6946114-E3E6-4625-B065-27E9376CAC20}"/>
  </w:font>
  <w:font w:name="Play">
    <w:charset w:val="00"/>
    <w:family w:val="auto"/>
    <w:pitch w:val="default"/>
    <w:embedRegular r:id="rId4" w:fontKey="{9D64CFF5-DEB4-47E8-A610-A1AA3CA8D322}"/>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embedRegular r:id="rId5" w:fontKey="{C1364750-C63F-4623-BB67-07531593E957}"/>
  </w:font>
  <w:font w:name="Cambria">
    <w:panose1 w:val="02040503050406030204"/>
    <w:charset w:val="A2"/>
    <w:family w:val="roman"/>
    <w:pitch w:val="variable"/>
    <w:sig w:usb0="E00006FF" w:usb1="420024FF" w:usb2="02000000" w:usb3="00000000" w:csb0="0000019F" w:csb1="00000000"/>
    <w:embedRegular r:id="rId6" w:fontKey="{D14035A2-1CF9-47A1-A299-2BC8E92B4F0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86CD3"/>
    <w:multiLevelType w:val="multilevel"/>
    <w:tmpl w:val="F5E274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83720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BCE"/>
    <w:rsid w:val="000C0BCE"/>
    <w:rsid w:val="007039D6"/>
    <w:rsid w:val="009A75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CEF617-2ED8-40DA-8B43-0CED79216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tr"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Balk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Balk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Balk4">
    <w:name w:val="heading 4"/>
    <w:basedOn w:val="Normal"/>
    <w:next w:val="Normal"/>
    <w:uiPriority w:val="9"/>
    <w:semiHidden/>
    <w:unhideWhenUsed/>
    <w:qFormat/>
    <w:pPr>
      <w:keepNext/>
      <w:keepLines/>
      <w:spacing w:before="80" w:after="40"/>
      <w:outlineLvl w:val="3"/>
    </w:pPr>
    <w:rPr>
      <w:i/>
      <w:iCs/>
      <w:color w:val="0F4761"/>
    </w:rPr>
  </w:style>
  <w:style w:type="paragraph" w:styleId="Balk5">
    <w:name w:val="heading 5"/>
    <w:basedOn w:val="Normal"/>
    <w:next w:val="Normal"/>
    <w:uiPriority w:val="9"/>
    <w:semiHidden/>
    <w:unhideWhenUsed/>
    <w:qFormat/>
    <w:pPr>
      <w:keepNext/>
      <w:keepLines/>
      <w:spacing w:before="80" w:after="40"/>
      <w:outlineLvl w:val="4"/>
    </w:pPr>
    <w:rPr>
      <w:color w:val="0F4761"/>
    </w:rPr>
  </w:style>
  <w:style w:type="paragraph" w:styleId="Balk6">
    <w:name w:val="heading 6"/>
    <w:basedOn w:val="Normal"/>
    <w:next w:val="Normal"/>
    <w:uiPriority w:val="9"/>
    <w:semiHidden/>
    <w:unhideWhenUsed/>
    <w:qFormat/>
    <w:pPr>
      <w:keepNext/>
      <w:keepLines/>
      <w:spacing w:before="40" w:after="0"/>
      <w:outlineLvl w:val="5"/>
    </w:pPr>
    <w:rPr>
      <w:i/>
      <w:iCs/>
      <w:color w:val="59595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line="240" w:lineRule="auto"/>
    </w:pPr>
    <w:rPr>
      <w:rFonts w:ascii="Play" w:eastAsia="Play" w:hAnsi="Play" w:cs="Play"/>
      <w:sz w:val="56"/>
      <w:szCs w:val="56"/>
    </w:rPr>
  </w:style>
  <w:style w:type="paragraph" w:styleId="Altyaz">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obiturk-sempozyum.marmara.edu.tr/organizasyon/ozet-basvuru-formu-ve-yazim-kurallari"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mDNt6LSziF9EOIjQ5dG6bU2ECQ==">CgMxLjA4AHIhMW9ZUGRYdW1aZWtQZXNWRW1ud1FkVVAzV3R5WXF0NFVx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453</Words>
  <Characters>2586</Characters>
  <Application>Microsoft Office Word</Application>
  <DocSecurity>0</DocSecurity>
  <Lines>21</Lines>
  <Paragraphs>6</Paragraphs>
  <ScaleCrop>false</ScaleCrop>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Bahadır Öz</dc:creator>
  <cp:lastModifiedBy>Bahadır Öz</cp:lastModifiedBy>
  <cp:revision>2</cp:revision>
  <dcterms:created xsi:type="dcterms:W3CDTF">2026-08-20T10:44:00Z</dcterms:created>
  <dcterms:modified xsi:type="dcterms:W3CDTF">2026-08-20T10:44:00Z</dcterms:modified>
</cp:coreProperties>
</file>